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drawing>
          <wp:anchor distT="0" distB="0" distL="114300" distR="114300" simplePos="0" relativeHeight="251658240" behindDoc="0" locked="0" layoutInCell="1" allowOverlap="1">
            <wp:simplePos x="0" y="0"/>
            <wp:positionH relativeFrom="page">
              <wp:posOffset>12242800</wp:posOffset>
            </wp:positionH>
            <wp:positionV relativeFrom="topMargin">
              <wp:posOffset>10680700</wp:posOffset>
            </wp:positionV>
            <wp:extent cx="457200" cy="3048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457200" cy="304800"/>
                    </a:xfrm>
                    <a:prstGeom prst="rect">
                      <a:avLst/>
                    </a:prstGeom>
                  </pic:spPr>
                </pic:pic>
              </a:graphicData>
            </a:graphic>
          </wp:anchor>
        </w:drawing>
      </w:r>
      <w:r>
        <w:rPr>
          <w:rFonts w:hint="eastAsia" w:ascii="宋体" w:hAnsi="宋体" w:eastAsia="宋体" w:cs="宋体"/>
          <w:b/>
          <w:bCs/>
          <w:sz w:val="32"/>
          <w:szCs w:val="32"/>
          <w:lang w:eastAsia="zh-CN"/>
        </w:rPr>
        <w:t>第</w:t>
      </w:r>
      <w:r>
        <w:rPr>
          <w:rFonts w:hint="eastAsia" w:ascii="宋体" w:hAnsi="宋体" w:eastAsia="宋体" w:cs="宋体"/>
          <w:b/>
          <w:bCs/>
          <w:sz w:val="32"/>
          <w:szCs w:val="32"/>
          <w:lang w:val="en-US" w:eastAsia="zh-CN"/>
        </w:rPr>
        <w:t xml:space="preserve">1节  </w:t>
      </w:r>
      <w:r>
        <w:rPr>
          <w:rFonts w:hint="eastAsia" w:ascii="宋体" w:hAnsi="宋体" w:eastAsia="宋体" w:cs="宋体"/>
          <w:b/>
          <w:bCs/>
          <w:sz w:val="32"/>
          <w:szCs w:val="32"/>
        </w:rPr>
        <w:t>溶液的酸碱性</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eastAsia="宋体" w:cs="宋体"/>
          <w:b/>
          <w:bCs/>
          <w:sz w:val="32"/>
          <w:szCs w:val="32"/>
        </w:rPr>
        <w:t>（第2课时）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学习目标</w:t>
      </w:r>
      <w:r>
        <w:rPr>
          <w:rFonts w:hint="eastAsia" w:ascii="宋体" w:hAnsi="宋体" w:eastAsia="宋体" w:cs="宋体"/>
          <w:sz w:val="28"/>
          <w:szCs w:val="28"/>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1．知道用pH来表示溶液的酸碱性，了解pH与溶液酸碱性强弱的关系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2．掌握用pH试纸来测定溶液的酸碱度的方法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3．了解溶液酸碱性与生命活动的关系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学习重、难点</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pH与溶液酸碱性的关系，用pH广泛试纸测定溶液酸碱度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一、知识准备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vertAlign w:val="baseline"/>
        </w:rPr>
      </w:pPr>
      <w:r>
        <w:rPr>
          <w:rFonts w:hint="eastAsia" w:ascii="宋体" w:hAnsi="宋体" w:eastAsia="宋体" w:cs="宋体"/>
          <w:sz w:val="28"/>
          <w:szCs w:val="28"/>
        </w:rPr>
        <w:t>1.填表</w:t>
      </w:r>
    </w:p>
    <w:tbl>
      <w:tblPr>
        <w:tblStyle w:val="5"/>
        <w:tblW w:w="0" w:type="auto"/>
        <w:tblInd w:w="7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3"/>
        <w:gridCol w:w="1902"/>
        <w:gridCol w:w="2265"/>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91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酸碱指示剂</w:t>
            </w:r>
          </w:p>
        </w:tc>
        <w:tc>
          <w:tcPr>
            <w:tcW w:w="190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酸性</w:t>
            </w:r>
          </w:p>
        </w:tc>
        <w:tc>
          <w:tcPr>
            <w:tcW w:w="22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中性</w:t>
            </w:r>
          </w:p>
        </w:tc>
        <w:tc>
          <w:tcPr>
            <w:tcW w:w="20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碱性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紫色石蕊试液</w:t>
            </w:r>
          </w:p>
        </w:tc>
        <w:tc>
          <w:tcPr>
            <w:tcW w:w="190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22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20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3"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无色酚酞试液</w:t>
            </w:r>
          </w:p>
        </w:tc>
        <w:tc>
          <w:tcPr>
            <w:tcW w:w="1902"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226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200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2．你已经知道的鉴别溶液酸碱性的方法有：                              </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二、思考与交流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（一）溶液酸碱性强弱程度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1．溶液酸碱度的表示（pH）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（1）溶液的pH与溶液酸碱性的关系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pH＝7溶液呈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性，例如蒸馏水、食盐水、蔗糖水等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pH＜7溶液呈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性，例如</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pH＞7溶液呈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性，例如</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（2）溶液pH大小与酸碱度的关系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①pH＜7溶液呈酸性；pH越小，酸性越</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，当酸性溶液被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稀释时，溶液的酸性变</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，pH变</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②pH＞7溶液呈碱性；pH越大，碱性越</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，当碱性溶液被水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稀释时，溶液的碱性变</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，pH变</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。中性溶液呢？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③试画出酸性溶液（或碱性溶液）用水稀释后pH变化示意图。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2．pH试纸的使用方法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测定溶液酸碱度的最简便方法是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，用pH试纸检测溶液pH时，用          蘸取待测溶液滴在pH试纸上，待试纸颜色稳定后，把试纸呈现的颜色与           对照，就可确定溶液的酸碱度。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b/>
          <w:bCs/>
          <w:sz w:val="28"/>
          <w:szCs w:val="28"/>
        </w:rPr>
        <w:t>讨论：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①测定溶液的pH前，试纸不能</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，也不能将试纸</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中沾起溶液。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②用pH试纸测定的pH应为整数（0～14），不能是小数。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③某同学用pH试纸测定某未知溶液时，先用蒸馏水将试纸润湿，则他测定的pH与原来的pH相比</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。A.偏大 B.偏小 C.不变  D.以上三种情况都有可能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（二）溶液酸碱性与生命活动的关系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1．生命活动与pH（阅读教材并完成下表）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健康人体液pH必须维持在一定的范围内，人体中几种重要体液的正常pH范围如下表</w:t>
      </w:r>
    </w:p>
    <w:tbl>
      <w:tblPr>
        <w:tblStyle w:val="5"/>
        <w:tblpPr w:leftFromText="180" w:rightFromText="180" w:vertAnchor="text" w:horzAnchor="page" w:tblpX="1971" w:tblpY="17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4"/>
        <w:gridCol w:w="1294"/>
        <w:gridCol w:w="1294"/>
        <w:gridCol w:w="1294"/>
        <w:gridCol w:w="1295"/>
        <w:gridCol w:w="1295"/>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体液</w:t>
            </w: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血液</w:t>
            </w: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唾液</w:t>
            </w: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胃液</w:t>
            </w: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胆汁</w:t>
            </w: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乳汁</w:t>
            </w: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pH</w:t>
            </w: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酸碱性</w:t>
            </w: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c>
          <w:tcPr>
            <w:tcW w:w="1295"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ab/>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2．植物的生长与pH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大多数农作物适宜在接近中性（pH</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之间）的土壤中生长，酸性太强，（pH</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4）或碱性太强（pH</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8）的土壤都不适宜作物的生长。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3．酸雨的形成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正常雨水中因溶有空气中的二氧化碳而略显</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性，可用化学方程式表示为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。当空气受硫的氧化物（如SO2）氮的氧化物（如NO2）污染时雨水的酸性增强，人们通常把pH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5.6的降水称为酸雨。酸雨的危害有（至少写三点）</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281" w:firstLineChars="100"/>
        <w:textAlignment w:val="auto"/>
        <w:rPr>
          <w:rFonts w:hint="eastAsia" w:ascii="宋体" w:hAnsi="宋体" w:eastAsia="宋体" w:cs="宋体"/>
          <w:b/>
          <w:bCs/>
          <w:sz w:val="28"/>
          <w:szCs w:val="28"/>
        </w:rPr>
      </w:pPr>
      <w:r>
        <w:rPr>
          <w:rFonts w:hint="eastAsia" w:ascii="宋体" w:hAnsi="宋体" w:eastAsia="宋体" w:cs="宋体"/>
          <w:b/>
          <w:bCs/>
          <w:sz w:val="28"/>
          <w:szCs w:val="28"/>
        </w:rPr>
        <w:t>三、达标检测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 用pH试纸测定某氢氧化钠溶液的酸碱度，如果先将蒸馏水润湿，再把白醋滴到试纸上，则测得的结果与原氢氧化钠溶液实际的pH比较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A.偏低        B.偏高       C.相等    D.无法比较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2．下表列出生活中一些液体的pH；</w:t>
      </w:r>
    </w:p>
    <w:tbl>
      <w:tblPr>
        <w:tblStyle w:val="5"/>
        <w:tblW w:w="0" w:type="auto"/>
        <w:tblInd w:w="7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8"/>
        <w:gridCol w:w="1059"/>
        <w:gridCol w:w="1219"/>
        <w:gridCol w:w="1631"/>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7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液体</w:t>
            </w:r>
          </w:p>
        </w:tc>
        <w:tc>
          <w:tcPr>
            <w:tcW w:w="10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雨水</w:t>
            </w:r>
          </w:p>
        </w:tc>
        <w:tc>
          <w:tcPr>
            <w:tcW w:w="121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蒸馏水</w:t>
            </w:r>
          </w:p>
        </w:tc>
        <w:tc>
          <w:tcPr>
            <w:tcW w:w="163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厨房清洁剂</w:t>
            </w:r>
          </w:p>
        </w:tc>
        <w:tc>
          <w:tcPr>
            <w:tcW w:w="174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厕所清洁剂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1078"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pH</w:t>
            </w:r>
          </w:p>
        </w:tc>
        <w:tc>
          <w:tcPr>
            <w:tcW w:w="105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5.6</w:t>
            </w:r>
          </w:p>
        </w:tc>
        <w:tc>
          <w:tcPr>
            <w:tcW w:w="1219"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7</w:t>
            </w:r>
          </w:p>
        </w:tc>
        <w:tc>
          <w:tcPr>
            <w:tcW w:w="1631"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r>
              <w:rPr>
                <w:rFonts w:hint="eastAsia" w:ascii="宋体" w:hAnsi="宋体" w:eastAsia="宋体" w:cs="宋体"/>
                <w:sz w:val="28"/>
                <w:szCs w:val="28"/>
              </w:rPr>
              <w:t>12.5</w:t>
            </w:r>
          </w:p>
        </w:tc>
        <w:tc>
          <w:tcPr>
            <w:tcW w:w="1744" w:type="dxa"/>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1.6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vertAlign w:val="baseline"/>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⑴上述液体中，酸性最强的是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，能使酚酞试液变红的是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⑵正常雨水的pH约为5.6，其原因是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⑶在厨房清洁剂中加入蒸馏水，厨房清洁剂的pH</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（填变大、变小或不变）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⑷厨房清洁剂与厕所清洁剂不能混合使用，其原因是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3. 人体内的二氧化碳排出不畅时，血液的pH会</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（填“升高、降低、不变”）。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4．现在甲、乙两种溶液它们的pH分别是5和9，则甲溶液呈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性，乙溶液</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性。若要提高甲溶液的pH可采用的方法是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，若要降低乙溶液的pH可采用的方法是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5．某化学兴趣小组按以下步骤探究某一温度下氯化钠饱和溶液的酸碱度。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[猜想与假设]：溶液的pH可能为（请将你的假设填入空格中）：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①pH＜7，②</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，③</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[设计与实验]：要测定该溶液的酸碱度，除有正确的操作步骤外，其中不能采用下列物质中的</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（填序号）来进行实验。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①pH试纸  ②紫色石蕊试液  ③酚酞试液</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组内同学进行了如下实验：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甲同学：取pH试纸放在玻璃片上，用玻璃棒蘸取氯化钠溶液沾在pH试纸上，把试纸显示的颜色与标准比色卡比较，测得pH=7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乙同学：取pH试纸放在玻璃片上，先用蒸馏水将pH试纸湿润，然后用玻璃棒蘸取氯化钠溶液沾在pH试纸上，把试纸显示的颜色与标准比色卡比较，测得pH=7。</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丙同学：将pH试纸直接浸入氯化钠溶液中，把试纸显示的颜色与标准比色卡比较，测得pH=7。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[评价]三位同学中操作规范的是</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同学。指出其余同学操作上的错误。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[结论与分析]丙同学指出：“因为氯化钠溶液的pH等于7，所以可以推测碳酸钠溶液的pH也等于7”，你认为该推论是否正确？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eastAsia="zh-CN"/>
        </w:rPr>
        <w:t>教学反思</w:t>
      </w:r>
      <w:r>
        <w:rPr>
          <w:rFonts w:hint="eastAsia" w:ascii="宋体" w:hAnsi="宋体" w:eastAsia="宋体" w:cs="宋体"/>
          <w:b/>
          <w:bCs/>
          <w:sz w:val="28"/>
          <w:szCs w:val="28"/>
          <w:lang w:val="en-US" w:eastAsia="zh-CN"/>
        </w:rPr>
        <w:t xml:space="preserve">  1、</w:t>
      </w:r>
    </w:p>
    <w:p>
      <w:pPr>
        <w:keepNext w:val="0"/>
        <w:keepLines w:val="0"/>
        <w:pageBreakBefore w:val="0"/>
        <w:widowControl w:val="0"/>
        <w:kinsoku/>
        <w:wordWrap/>
        <w:overflowPunct/>
        <w:topLinePunct w:val="0"/>
        <w:autoSpaceDE/>
        <w:autoSpaceDN/>
        <w:bidi w:val="0"/>
        <w:adjustRightInd/>
        <w:snapToGrid/>
        <w:spacing w:line="360" w:lineRule="auto"/>
        <w:ind w:firstLine="1405" w:firstLineChars="500"/>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2、</w:t>
      </w:r>
    </w:p>
    <w:p>
      <w:pPr>
        <w:keepNext w:val="0"/>
        <w:keepLines w:val="0"/>
        <w:pageBreakBefore w:val="0"/>
        <w:widowControl w:val="0"/>
        <w:kinsoku/>
        <w:wordWrap/>
        <w:overflowPunct/>
        <w:topLinePunct w:val="0"/>
        <w:autoSpaceDE/>
        <w:autoSpaceDN/>
        <w:bidi w:val="0"/>
        <w:adjustRightInd/>
        <w:snapToGrid/>
        <w:spacing w:line="360" w:lineRule="auto"/>
        <w:ind w:firstLine="1405" w:firstLineChars="500"/>
        <w:textAlignment w:val="auto"/>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p>
    <w:sectPr>
      <w:headerReference r:id="rId3" w:type="default"/>
      <w:footerReference r:id="rId4" w:type="default"/>
      <w:pgSz w:w="11906" w:h="16838"/>
      <w:pgMar w:top="1701" w:right="1474" w:bottom="1701" w:left="158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10466"/>
        <w:tab w:val="clear" w:pos="4153"/>
        <w:tab w:val="clear" w:pos="8306"/>
      </w:tabs>
      <w:jc w:val="both"/>
      <w:rPr>
        <w:u w:val="single"/>
      </w:rPr>
    </w:pPr>
    <w:r>
      <w:rPr>
        <w:rFonts w:hint="eastAsia" w:ascii="隶书" w:eastAsia="隶书"/>
        <w:b/>
        <w:sz w:val="28"/>
        <w:szCs w:val="28"/>
        <w:u w:val="single"/>
        <w:lang w:eastAsia="zh-CN"/>
      </w:rPr>
      <w:t>湖北梯田文化传播有限公司</w:t>
    </w:r>
    <w:r>
      <w:rPr>
        <w:rFonts w:hint="eastAsia" w:ascii="隶书" w:eastAsia="隶书"/>
        <w:b/>
        <w:sz w:val="28"/>
        <w:szCs w:val="28"/>
        <w:u w:val="single"/>
      </w:rPr>
      <w:t xml:space="preserve">      </w:t>
    </w:r>
    <w:r>
      <w:rPr>
        <w:rFonts w:hint="eastAsia" w:ascii="隶书" w:eastAsia="隶书"/>
        <w:b/>
        <w:sz w:val="28"/>
        <w:szCs w:val="28"/>
        <w:u w:val="single"/>
        <w:lang w:val="en-US" w:eastAsia="zh-CN"/>
      </w:rPr>
      <w:t xml:space="preserve">             </w:t>
    </w:r>
    <w:r>
      <w:rPr>
        <w:rFonts w:hint="eastAsia" w:ascii="隶书" w:eastAsia="隶书"/>
        <w:b/>
        <w:sz w:val="28"/>
        <w:szCs w:val="28"/>
        <w:u w:val="single"/>
      </w:rPr>
      <w:t xml:space="preserve"> </w:t>
    </w:r>
    <w:r>
      <w:rPr>
        <w:rFonts w:hint="eastAsia" w:ascii="Cambria" w:hAnsi="Cambria" w:eastAsia="隶书"/>
        <w:b/>
        <w:sz w:val="28"/>
        <w:szCs w:val="28"/>
        <w:u w:val="single"/>
      </w:rPr>
      <w:t xml:space="preserve">  《</w:t>
    </w:r>
    <w:r>
      <w:rPr>
        <w:rFonts w:hint="eastAsia" w:ascii="Cambria" w:hAnsi="Cambria" w:eastAsia="隶书"/>
        <w:b/>
        <w:sz w:val="28"/>
        <w:szCs w:val="28"/>
        <w:u w:val="single"/>
        <w:lang w:eastAsia="zh-CN"/>
      </w:rPr>
      <w:t>导学案</w:t>
    </w:r>
    <w:r>
      <w:rPr>
        <w:rFonts w:hint="eastAsia" w:ascii="Cambria" w:hAnsi="Cambria" w:eastAsia="隶书"/>
        <w:b/>
        <w:sz w:val="28"/>
        <w:szCs w:val="28"/>
        <w:u w:val="single"/>
      </w:rPr>
      <w:t>》</w:t>
    </w:r>
    <w:r>
      <w:rPr>
        <w:rFonts w:ascii="Cambria" w:hAnsi="Cambria" w:eastAsia="隶书"/>
        <w:b/>
        <w:sz w:val="28"/>
        <w:szCs w:val="28"/>
        <w:u w:val="single"/>
      </w:rPr>
      <w:t>word</w:t>
    </w:r>
    <w:r>
      <w:rPr>
        <w:rFonts w:hint="eastAsia" w:ascii="隶书" w:eastAsia="隶书"/>
        <w:b/>
        <w:sz w:val="28"/>
        <w:szCs w:val="28"/>
        <w:u w:val="single"/>
      </w:rPr>
      <w:t>版</w:t>
    </w:r>
  </w:p>
  <w:p>
    <w:pPr>
      <w:pStyle w:val="3"/>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bordersDoNotSurroundHeader w:val="1"/>
  <w:bordersDoNotSurroundFooter w:val="1"/>
  <w:documentProtection w:enforcement="0"/>
  <w:defaultTabStop w:val="420"/>
  <w:drawingGridVerticalSpacing w:val="156"/>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0C04E22"/>
    <w:rsid w:val="1DB05222"/>
    <w:rsid w:val="21101D53"/>
    <w:rsid w:val="21D43EEE"/>
    <w:rsid w:val="23CE50A8"/>
    <w:rsid w:val="4A092B6C"/>
    <w:rsid w:val="533A7E72"/>
    <w:rsid w:val="60C04E22"/>
    <w:rsid w:val="6A4963AA"/>
    <w:rsid w:val="6C6D542E"/>
    <w:rsid w:val="7D346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2020-05-06T09:41:00Z</dcterms:created>
  <dc:creator>Administrator</dc:creator>
  <cp:lastModifiedBy>Administrator</cp:lastModifiedBy>
  <dcterms:modified xsi:type="dcterms:W3CDTF">2021-01-16T06:23:34Z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